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6947" w14:textId="13C1AE51" w:rsidR="004C383F" w:rsidRDefault="004C383F" w:rsidP="004C383F">
      <w:pPr>
        <w:spacing w:after="0" w:line="240" w:lineRule="auto"/>
        <w:jc w:val="center"/>
        <w:outlineLvl w:val="1"/>
        <w:rPr>
          <w:rFonts w:ascii="Verdana" w:eastAsia="Verdana" w:hAnsi="Verdana" w:cs="Verdana"/>
          <w:color w:val="000000" w:themeColor="text1"/>
        </w:rPr>
      </w:pPr>
      <w:bookmarkStart w:id="0" w:name="_Toc162165267"/>
      <w:r w:rsidRPr="008A688A">
        <w:rPr>
          <w:rFonts w:ascii="Verdana" w:eastAsia="Verdana" w:hAnsi="Verdana" w:cs="Verdana"/>
          <w:color w:val="000000" w:themeColor="text1"/>
        </w:rPr>
        <w:t>In re Target Corporation Customer Data Security Breach Litigation</w:t>
      </w:r>
      <w:bookmarkEnd w:id="0"/>
    </w:p>
    <w:p w14:paraId="4E0890BB" w14:textId="58F98A3F" w:rsidR="004C383F" w:rsidRPr="008A688A" w:rsidRDefault="004C383F" w:rsidP="004C383F">
      <w:pPr>
        <w:spacing w:after="0" w:line="240" w:lineRule="auto"/>
        <w:jc w:val="center"/>
        <w:rPr>
          <w:rFonts w:ascii="Verdana" w:eastAsia="Verdana" w:hAnsi="Verdana" w:cs="Verdana"/>
          <w:color w:val="000000" w:themeColor="text1"/>
        </w:rPr>
      </w:pPr>
      <w:r w:rsidRPr="008A688A">
        <w:rPr>
          <w:rFonts w:ascii="Verdana" w:eastAsia="Verdana" w:hAnsi="Verdana" w:cs="Verdana"/>
          <w:color w:val="000000" w:themeColor="text1"/>
        </w:rPr>
        <w:t>66 F.Supp.3d 1154 (2014)</w:t>
      </w:r>
    </w:p>
    <w:p w14:paraId="39A53B89" w14:textId="77777777" w:rsidR="004C383F" w:rsidRPr="008A688A" w:rsidRDefault="004C383F" w:rsidP="004C383F">
      <w:pPr>
        <w:spacing w:after="0" w:line="240" w:lineRule="auto"/>
        <w:jc w:val="center"/>
        <w:rPr>
          <w:rFonts w:ascii="Verdana" w:eastAsia="Verdana" w:hAnsi="Verdana" w:cs="Verdana"/>
          <w:color w:val="000000" w:themeColor="text1"/>
        </w:rPr>
      </w:pPr>
      <w:r w:rsidRPr="008A688A">
        <w:rPr>
          <w:rFonts w:ascii="Verdana" w:eastAsia="Verdana" w:hAnsi="Verdana" w:cs="Verdana"/>
          <w:color w:val="000000" w:themeColor="text1"/>
        </w:rPr>
        <w:t>United States District Court, D. Minnesota</w:t>
      </w:r>
    </w:p>
    <w:p w14:paraId="12E9DC4D" w14:textId="77777777" w:rsidR="004C383F" w:rsidRPr="008A688A" w:rsidRDefault="004C383F" w:rsidP="004C383F">
      <w:pPr>
        <w:spacing w:after="0" w:line="240" w:lineRule="auto"/>
        <w:jc w:val="center"/>
        <w:rPr>
          <w:rFonts w:ascii="Verdana" w:eastAsia="Verdana" w:hAnsi="Verdana" w:cs="Verdana"/>
          <w:color w:val="000000" w:themeColor="text1"/>
        </w:rPr>
      </w:pPr>
    </w:p>
    <w:p w14:paraId="30B52E2C" w14:textId="77777777" w:rsidR="004C383F" w:rsidRPr="008A688A" w:rsidRDefault="004C383F" w:rsidP="004C383F">
      <w:pPr>
        <w:spacing w:after="0" w:line="240" w:lineRule="auto"/>
        <w:jc w:val="center"/>
        <w:rPr>
          <w:rFonts w:ascii="Verdana" w:eastAsia="Verdana" w:hAnsi="Verdana" w:cs="Verdana"/>
          <w:color w:val="000000" w:themeColor="text1"/>
        </w:rPr>
      </w:pPr>
      <w:bookmarkStart w:id="1" w:name="bookmark=id.2szc72q" w:colFirst="0" w:colLast="0"/>
      <w:bookmarkStart w:id="2" w:name="bookmark=id.4du1wux" w:colFirst="0" w:colLast="0"/>
      <w:bookmarkStart w:id="3" w:name="bookmark=id.184mhaj" w:colFirst="0" w:colLast="0"/>
      <w:bookmarkEnd w:id="1"/>
      <w:bookmarkEnd w:id="2"/>
      <w:bookmarkEnd w:id="3"/>
      <w:r w:rsidRPr="008A688A">
        <w:rPr>
          <w:rFonts w:ascii="Verdana" w:eastAsia="Verdana" w:hAnsi="Verdana" w:cs="Verdana"/>
          <w:b/>
          <w:color w:val="000000" w:themeColor="text1"/>
        </w:rPr>
        <w:t>MEMORANDUM AND ORDER</w:t>
      </w:r>
    </w:p>
    <w:p w14:paraId="31B90A4E" w14:textId="77777777" w:rsidR="004C383F" w:rsidRPr="008A688A" w:rsidRDefault="004C383F" w:rsidP="004C383F">
      <w:pPr>
        <w:spacing w:after="0" w:line="240" w:lineRule="auto"/>
        <w:jc w:val="both"/>
        <w:rPr>
          <w:rFonts w:ascii="Verdana" w:eastAsia="Verdana" w:hAnsi="Verdana" w:cs="Verdana"/>
          <w:color w:val="000000" w:themeColor="text1"/>
        </w:rPr>
      </w:pPr>
    </w:p>
    <w:p w14:paraId="22CD0E48"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PAUL A. MAGNUSON, District Judge.</w:t>
      </w:r>
    </w:p>
    <w:p w14:paraId="2FA99F9F" w14:textId="77777777" w:rsidR="004C383F" w:rsidRPr="008A688A" w:rsidRDefault="004C383F" w:rsidP="004C383F">
      <w:pPr>
        <w:spacing w:after="0" w:line="240" w:lineRule="auto"/>
        <w:jc w:val="both"/>
        <w:rPr>
          <w:rFonts w:ascii="Verdana" w:eastAsia="Verdana" w:hAnsi="Verdana" w:cs="Verdana"/>
          <w:color w:val="000000" w:themeColor="text1"/>
        </w:rPr>
      </w:pPr>
    </w:p>
    <w:p w14:paraId="195D6AD5"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Target Corporation's Motion to Dismiss the Consumer Plaintiffs' First Amended Consolidated Class Action Complaint (Docket No. 258) in the Consumer Cases. </w:t>
      </w:r>
      <w:proofErr w:type="gramStart"/>
      <w:r w:rsidRPr="008A688A">
        <w:rPr>
          <w:rFonts w:ascii="Verdana" w:eastAsia="Verdana" w:hAnsi="Verdana" w:cs="Verdana"/>
          <w:color w:val="000000" w:themeColor="text1"/>
        </w:rPr>
        <w:t>For the reasons that</w:t>
      </w:r>
      <w:proofErr w:type="gramEnd"/>
      <w:r w:rsidRPr="008A688A">
        <w:rPr>
          <w:rFonts w:ascii="Verdana" w:eastAsia="Verdana" w:hAnsi="Verdana" w:cs="Verdana"/>
          <w:color w:val="000000" w:themeColor="text1"/>
        </w:rPr>
        <w:t xml:space="preserve"> follow, the Motion is granted in part and denied in part.</w:t>
      </w:r>
    </w:p>
    <w:p w14:paraId="2FD83F94"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160BCE36" w14:textId="77777777" w:rsidR="004C383F" w:rsidRPr="008A688A" w:rsidRDefault="004C383F" w:rsidP="004C383F">
      <w:pPr>
        <w:spacing w:after="0" w:line="240" w:lineRule="auto"/>
        <w:rPr>
          <w:rFonts w:ascii="Verdana" w:eastAsia="Verdana" w:hAnsi="Verdana" w:cs="Verdana"/>
          <w:color w:val="000000" w:themeColor="text1"/>
        </w:rPr>
      </w:pPr>
      <w:bookmarkStart w:id="4" w:name="bookmark=id.3s49zyc" w:colFirst="0" w:colLast="0"/>
      <w:bookmarkStart w:id="5" w:name="bookmark=id.279ka65" w:colFirst="0" w:colLast="0"/>
      <w:bookmarkEnd w:id="4"/>
      <w:bookmarkEnd w:id="5"/>
      <w:r w:rsidRPr="008A688A">
        <w:rPr>
          <w:rFonts w:ascii="Verdana" w:eastAsia="Verdana" w:hAnsi="Verdana" w:cs="Verdana"/>
          <w:b/>
          <w:color w:val="000000" w:themeColor="text1"/>
        </w:rPr>
        <w:t>BACKGROUND</w:t>
      </w:r>
    </w:p>
    <w:p w14:paraId="5DF29EFE" w14:textId="77777777" w:rsidR="004C383F" w:rsidRPr="008A688A" w:rsidRDefault="004C383F" w:rsidP="004C383F">
      <w:pPr>
        <w:spacing w:after="0" w:line="240" w:lineRule="auto"/>
        <w:jc w:val="both"/>
        <w:rPr>
          <w:rFonts w:ascii="Verdana" w:eastAsia="Verdana" w:hAnsi="Verdana" w:cs="Verdana"/>
          <w:color w:val="000000" w:themeColor="text1"/>
        </w:rPr>
      </w:pPr>
    </w:p>
    <w:p w14:paraId="3FCA6B03"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This case arises out of one of the largest breaches of payment-card security in United States retail history: over a period of more than three weeks during the 2013 holiday shopping season, computer hackers stole credit- and debit-card information and other personal information for approximately 110 million customers of Target's retail stores. Plaintiffs are a putative class</w:t>
      </w:r>
      <w:bookmarkStart w:id="6" w:name="bookmark=id.meukdy" w:colFirst="0" w:colLast="0"/>
      <w:bookmarkEnd w:id="6"/>
      <w:r w:rsidRPr="008A688A">
        <w:rPr>
          <w:rFonts w:ascii="Verdana" w:eastAsia="Verdana" w:hAnsi="Verdana" w:cs="Verdana"/>
          <w:color w:val="000000" w:themeColor="text1"/>
          <w:vertAlign w:val="superscript"/>
        </w:rPr>
        <w:t>1</w:t>
      </w:r>
      <w:r w:rsidRPr="008A688A">
        <w:rPr>
          <w:rFonts w:ascii="Verdana" w:eastAsia="Verdana" w:hAnsi="Verdana" w:cs="Verdana"/>
          <w:color w:val="000000" w:themeColor="text1"/>
        </w:rPr>
        <w:t xml:space="preserve"> of consumers who used their credit or debit cards at Target stores during the period of the security breach, and whose personal financial information was compromised </w:t>
      </w:r>
      <w:proofErr w:type="gramStart"/>
      <w:r w:rsidRPr="008A688A">
        <w:rPr>
          <w:rFonts w:ascii="Verdana" w:eastAsia="Verdana" w:hAnsi="Verdana" w:cs="Verdana"/>
          <w:color w:val="000000" w:themeColor="text1"/>
        </w:rPr>
        <w:t>as a result of</w:t>
      </w:r>
      <w:proofErr w:type="gramEnd"/>
      <w:r w:rsidRPr="008A688A">
        <w:rPr>
          <w:rFonts w:ascii="Verdana" w:eastAsia="Verdana" w:hAnsi="Verdana" w:cs="Verdana"/>
          <w:color w:val="000000" w:themeColor="text1"/>
        </w:rPr>
        <w:t xml:space="preserve"> the breach. Indeed, many of the 114 named Plaintiffs allege that they actually incurred unauthorized charges; lost access to their accounts; and/or were forced to pay sums such as late fees, card-replacement fees, and credit monitoring costs because the hackers misused their personal financial information.</w:t>
      </w:r>
    </w:p>
    <w:p w14:paraId="53782BC7"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44345B64"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The Judicial Panel on Multidistrict Litigation consolidated all federal litigation into this case, which is divided into two tracks: one for cases brought by financial institutions and one for cases brought by consumers. In this Motion, Target asks the Court to dismiss the First Amended Consolidated Class Action Complaint</w:t>
      </w:r>
      <w:bookmarkStart w:id="7" w:name="bookmark=id.36ei31r" w:colFirst="0" w:colLast="0"/>
      <w:bookmarkEnd w:id="7"/>
      <w:r w:rsidRPr="008A688A">
        <w:rPr>
          <w:rFonts w:ascii="Verdana" w:eastAsia="Verdana" w:hAnsi="Verdana" w:cs="Verdana"/>
          <w:color w:val="000000" w:themeColor="text1"/>
          <w:vertAlign w:val="superscript"/>
        </w:rPr>
        <w:t>2</w:t>
      </w:r>
      <w:r w:rsidRPr="008A688A">
        <w:rPr>
          <w:rFonts w:ascii="Verdana" w:eastAsia="Verdana" w:hAnsi="Verdana" w:cs="Verdana"/>
          <w:color w:val="000000" w:themeColor="text1"/>
        </w:rPr>
        <w:t xml:space="preserve"> filed in the consumer cases.</w:t>
      </w:r>
    </w:p>
    <w:p w14:paraId="27A2ECF6"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306966D8"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Plaintiffs' Complaint raises seven claims. Count One contends that Target violated the consumer protection laws of 49 states (all states save Alaska) and the District of Columbia. Count Two alleges a similar violation with respect to the data breach statutes of 38 states. Count III asserts that Target was negligent in failing to safeguard its customers' data. Count IV raises a claim for breach of an implied contract as to Plaintiffs who were not Target </w:t>
      </w:r>
      <w:proofErr w:type="spellStart"/>
      <w:r w:rsidRPr="008A688A">
        <w:rPr>
          <w:rFonts w:ascii="Verdana" w:eastAsia="Verdana" w:hAnsi="Verdana" w:cs="Verdana"/>
          <w:color w:val="000000" w:themeColor="text1"/>
        </w:rPr>
        <w:t>REDcard</w:t>
      </w:r>
      <w:proofErr w:type="spellEnd"/>
      <w:r w:rsidRPr="008A688A">
        <w:rPr>
          <w:rFonts w:ascii="Verdana" w:eastAsia="Verdana" w:hAnsi="Verdana" w:cs="Verdana"/>
          <w:color w:val="000000" w:themeColor="text1"/>
        </w:rPr>
        <w:t xml:space="preserve"> cardholders, and Count V claims a breach of contract as to Plaintiffs who were Target </w:t>
      </w:r>
      <w:proofErr w:type="spellStart"/>
      <w:r w:rsidRPr="008A688A">
        <w:rPr>
          <w:rFonts w:ascii="Verdana" w:eastAsia="Verdana" w:hAnsi="Verdana" w:cs="Verdana"/>
          <w:color w:val="000000" w:themeColor="text1"/>
        </w:rPr>
        <w:t>REDcard</w:t>
      </w:r>
      <w:proofErr w:type="spellEnd"/>
      <w:r w:rsidRPr="008A688A">
        <w:rPr>
          <w:rFonts w:ascii="Verdana" w:eastAsia="Verdana" w:hAnsi="Verdana" w:cs="Verdana"/>
          <w:color w:val="000000" w:themeColor="text1"/>
        </w:rPr>
        <w:t xml:space="preserve"> cardholders. Count VI claims a bailment, and Count VII claims unjust enrichment. Target seeks dismissal of all claims, contending that the 121–page, 356–paragraph Complaint lacks sufficient detail to support Plaintiffs' allegations. </w:t>
      </w:r>
      <w:r w:rsidRPr="008A688A">
        <w:rPr>
          <w:rFonts w:ascii="Verdana" w:eastAsia="Verdana" w:hAnsi="Verdana" w:cs="Verdana"/>
          <w:i/>
          <w:color w:val="000000" w:themeColor="text1"/>
        </w:rPr>
        <w:t>Cf.</w:t>
      </w:r>
      <w:r w:rsidRPr="008A688A">
        <w:rPr>
          <w:rFonts w:ascii="Verdana" w:eastAsia="Verdana" w:hAnsi="Verdana" w:cs="Verdana"/>
          <w:color w:val="000000" w:themeColor="text1"/>
        </w:rPr>
        <w:t xml:space="preserve"> </w:t>
      </w:r>
      <w:proofErr w:type="spellStart"/>
      <w:r w:rsidRPr="008A688A">
        <w:rPr>
          <w:rFonts w:ascii="Verdana" w:eastAsia="Verdana" w:hAnsi="Verdana" w:cs="Verdana"/>
          <w:color w:val="000000" w:themeColor="text1"/>
        </w:rPr>
        <w:t>Fed.R.Civ.P</w:t>
      </w:r>
      <w:proofErr w:type="spellEnd"/>
      <w:r w:rsidRPr="008A688A">
        <w:rPr>
          <w:rFonts w:ascii="Verdana" w:eastAsia="Verdana" w:hAnsi="Verdana" w:cs="Verdana"/>
          <w:color w:val="000000" w:themeColor="text1"/>
        </w:rPr>
        <w:t>. 8(a)(2) (requiring a “short and plain statement of the claim”).</w:t>
      </w:r>
    </w:p>
    <w:p w14:paraId="569B3F43"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1CD6E288" w14:textId="77777777" w:rsidR="004C383F" w:rsidRPr="008A688A" w:rsidRDefault="004C383F" w:rsidP="004C383F">
      <w:pPr>
        <w:spacing w:after="0" w:line="240" w:lineRule="auto"/>
        <w:rPr>
          <w:rFonts w:ascii="Verdana" w:eastAsia="Verdana" w:hAnsi="Verdana" w:cs="Verdana"/>
          <w:color w:val="000000" w:themeColor="text1"/>
        </w:rPr>
      </w:pPr>
      <w:bookmarkStart w:id="8" w:name="bookmark=id.1ljsd9k" w:colFirst="0" w:colLast="0"/>
      <w:bookmarkStart w:id="9" w:name="bookmark=id.45jfvxd" w:colFirst="0" w:colLast="0"/>
      <w:bookmarkEnd w:id="8"/>
      <w:bookmarkEnd w:id="9"/>
      <w:r w:rsidRPr="008A688A">
        <w:rPr>
          <w:rFonts w:ascii="Verdana" w:eastAsia="Verdana" w:hAnsi="Verdana" w:cs="Verdana"/>
          <w:b/>
          <w:color w:val="000000" w:themeColor="text1"/>
        </w:rPr>
        <w:t>DISCUSSION</w:t>
      </w:r>
    </w:p>
    <w:p w14:paraId="7ABD322D" w14:textId="77777777" w:rsidR="004C383F" w:rsidRPr="008A688A" w:rsidRDefault="004C383F" w:rsidP="004C383F">
      <w:pPr>
        <w:spacing w:after="0" w:line="240" w:lineRule="auto"/>
        <w:jc w:val="both"/>
        <w:rPr>
          <w:rFonts w:ascii="Verdana" w:eastAsia="Verdana" w:hAnsi="Verdana" w:cs="Verdana"/>
          <w:color w:val="000000" w:themeColor="text1"/>
        </w:rPr>
      </w:pPr>
    </w:p>
    <w:p w14:paraId="473AE015"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 </w:t>
      </w:r>
    </w:p>
    <w:p w14:paraId="38B369A9" w14:textId="77777777" w:rsidR="004C383F" w:rsidRPr="008A688A" w:rsidRDefault="004C383F" w:rsidP="004C383F">
      <w:pPr>
        <w:spacing w:after="0" w:line="240" w:lineRule="auto"/>
        <w:jc w:val="both"/>
        <w:rPr>
          <w:rFonts w:ascii="Verdana" w:eastAsia="Verdana" w:hAnsi="Verdana" w:cs="Verdana"/>
          <w:color w:val="000000" w:themeColor="text1"/>
        </w:rPr>
      </w:pPr>
    </w:p>
    <w:p w14:paraId="55E93EAD" w14:textId="77777777" w:rsidR="004C383F" w:rsidRPr="008A688A" w:rsidRDefault="004C383F" w:rsidP="004C383F">
      <w:pPr>
        <w:spacing w:after="0" w:line="240" w:lineRule="auto"/>
        <w:jc w:val="both"/>
        <w:rPr>
          <w:rFonts w:ascii="Verdana" w:eastAsia="Verdana" w:hAnsi="Verdana" w:cs="Verdana"/>
          <w:color w:val="000000" w:themeColor="text1"/>
        </w:rPr>
      </w:pPr>
    </w:p>
    <w:p w14:paraId="70165B38" w14:textId="77777777" w:rsidR="004C383F" w:rsidRPr="008A688A" w:rsidRDefault="004C383F" w:rsidP="004C383F">
      <w:pPr>
        <w:spacing w:after="0" w:line="240" w:lineRule="auto"/>
        <w:rPr>
          <w:rFonts w:ascii="Verdana" w:eastAsia="Verdana" w:hAnsi="Verdana" w:cs="Verdana"/>
          <w:color w:val="000000" w:themeColor="text1"/>
        </w:rPr>
      </w:pPr>
      <w:bookmarkStart w:id="10" w:name="bookmark=id.zu0gcz" w:colFirst="0" w:colLast="0"/>
      <w:bookmarkStart w:id="11" w:name="bookmark=id.2koq656" w:colFirst="0" w:colLast="0"/>
      <w:bookmarkEnd w:id="10"/>
      <w:bookmarkEnd w:id="11"/>
      <w:r w:rsidRPr="008A688A">
        <w:rPr>
          <w:rFonts w:ascii="Verdana" w:eastAsia="Verdana" w:hAnsi="Verdana" w:cs="Verdana"/>
          <w:b/>
          <w:color w:val="000000" w:themeColor="text1"/>
        </w:rPr>
        <w:t>H. Unjust Enrichment</w:t>
      </w:r>
    </w:p>
    <w:p w14:paraId="24B67486" w14:textId="77777777" w:rsidR="004C383F" w:rsidRPr="008A688A" w:rsidRDefault="004C383F" w:rsidP="004C383F">
      <w:pPr>
        <w:spacing w:after="0" w:line="240" w:lineRule="auto"/>
        <w:jc w:val="both"/>
        <w:rPr>
          <w:rFonts w:ascii="Verdana" w:eastAsia="Verdana" w:hAnsi="Verdana" w:cs="Verdana"/>
          <w:color w:val="000000" w:themeColor="text1"/>
        </w:rPr>
      </w:pPr>
    </w:p>
    <w:p w14:paraId="06A0F1DB"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The substantive law of unjust enrichment is consistent across all jurisdictions: Plaintiffs must plead that Target “knowingly received or obtained something of value [ ] which [it] ‘in equity and good conscience’ ” should not have received. </w:t>
      </w:r>
      <w:r w:rsidRPr="008A688A">
        <w:rPr>
          <w:rFonts w:ascii="Verdana" w:eastAsia="Verdana" w:hAnsi="Verdana" w:cs="Verdana"/>
          <w:i/>
          <w:color w:val="000000" w:themeColor="text1"/>
        </w:rPr>
        <w:t>ServiceMaster of St. Cloud v. GAB Bus. Servs., Inc.,</w:t>
      </w:r>
      <w:r w:rsidRPr="008A688A">
        <w:rPr>
          <w:rFonts w:ascii="Verdana" w:eastAsia="Verdana" w:hAnsi="Verdana" w:cs="Verdana"/>
          <w:color w:val="000000" w:themeColor="text1"/>
        </w:rPr>
        <w:t xml:space="preserve"> 544 N.W.2d 302, 306 (Minn.1996) (citation omitted).</w:t>
      </w:r>
    </w:p>
    <w:p w14:paraId="676B025F"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0F46EFF9"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Two theories support Plaintiffs' unjust-enrichment claim. First, Plaintiffs allege that the purchase price of the goods Target sold included a premium for adequate data security. By failing to maintain that  security, Plaintiffs assert that they were overcharged for the goods they received. The parties call this the “overcharge” theory. Plaintiffs' second theory is the “would not have shopped” theory discussed previously. This theory contends that, had Target notified its customers about the data breach in a timely manner, Plaintiffs would not have shopped at Target and thus any money Plaintiffs spent at Target after Target knew or should have known about the breach is money to which Target is not entitled.</w:t>
      </w:r>
    </w:p>
    <w:p w14:paraId="2F70E7CB"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19792367"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Plaintiffs' “overcharge” theory has no merit, and the case on which Plaintiffs rely for this theory is not on point. </w:t>
      </w:r>
      <w:r w:rsidRPr="008A688A">
        <w:rPr>
          <w:rFonts w:ascii="Verdana" w:eastAsia="Verdana" w:hAnsi="Verdana" w:cs="Verdana"/>
          <w:i/>
          <w:color w:val="000000" w:themeColor="text1"/>
        </w:rPr>
        <w:t xml:space="preserve">Resnick v. </w:t>
      </w:r>
      <w:proofErr w:type="spellStart"/>
      <w:r w:rsidRPr="008A688A">
        <w:rPr>
          <w:rFonts w:ascii="Verdana" w:eastAsia="Verdana" w:hAnsi="Verdana" w:cs="Verdana"/>
          <w:i/>
          <w:color w:val="000000" w:themeColor="text1"/>
        </w:rPr>
        <w:t>AvMed</w:t>
      </w:r>
      <w:proofErr w:type="spellEnd"/>
      <w:r w:rsidRPr="008A688A">
        <w:rPr>
          <w:rFonts w:ascii="Verdana" w:eastAsia="Verdana" w:hAnsi="Verdana" w:cs="Verdana"/>
          <w:i/>
          <w:color w:val="000000" w:themeColor="text1"/>
        </w:rPr>
        <w:t>, Inc.,</w:t>
      </w:r>
      <w:r w:rsidRPr="008A688A">
        <w:rPr>
          <w:rFonts w:ascii="Verdana" w:eastAsia="Verdana" w:hAnsi="Verdana" w:cs="Verdana"/>
          <w:color w:val="000000" w:themeColor="text1"/>
        </w:rPr>
        <w:t xml:space="preserve"> 693 F.3d 1317, 1328 (11th Cir.2012). In </w:t>
      </w:r>
      <w:r w:rsidRPr="008A688A">
        <w:rPr>
          <w:rFonts w:ascii="Verdana" w:eastAsia="Verdana" w:hAnsi="Verdana" w:cs="Verdana"/>
          <w:i/>
          <w:color w:val="000000" w:themeColor="text1"/>
        </w:rPr>
        <w:t>Resnick,</w:t>
      </w:r>
      <w:r w:rsidRPr="008A688A">
        <w:rPr>
          <w:rFonts w:ascii="Verdana" w:eastAsia="Verdana" w:hAnsi="Verdana" w:cs="Verdana"/>
          <w:color w:val="000000" w:themeColor="text1"/>
        </w:rPr>
        <w:t xml:space="preserve"> a health care plan's laptops containing the unencrypted personal information of its members were stolen. Two members sued contending that their identities had been stolen </w:t>
      </w:r>
      <w:proofErr w:type="gramStart"/>
      <w:r w:rsidRPr="008A688A">
        <w:rPr>
          <w:rFonts w:ascii="Verdana" w:eastAsia="Verdana" w:hAnsi="Verdana" w:cs="Verdana"/>
          <w:color w:val="000000" w:themeColor="text1"/>
        </w:rPr>
        <w:t>as a result of</w:t>
      </w:r>
      <w:proofErr w:type="gramEnd"/>
      <w:r w:rsidRPr="008A688A">
        <w:rPr>
          <w:rFonts w:ascii="Verdana" w:eastAsia="Verdana" w:hAnsi="Verdana" w:cs="Verdana"/>
          <w:color w:val="000000" w:themeColor="text1"/>
        </w:rPr>
        <w:t xml:space="preserve"> the laptop theft. They raised a claim for unjust enrichment, alleging that part of the premiums they paid to </w:t>
      </w:r>
      <w:proofErr w:type="spellStart"/>
      <w:r w:rsidRPr="008A688A">
        <w:rPr>
          <w:rFonts w:ascii="Verdana" w:eastAsia="Verdana" w:hAnsi="Verdana" w:cs="Verdana"/>
          <w:color w:val="000000" w:themeColor="text1"/>
        </w:rPr>
        <w:t>AvMed</w:t>
      </w:r>
      <w:proofErr w:type="spellEnd"/>
      <w:r w:rsidRPr="008A688A">
        <w:rPr>
          <w:rFonts w:ascii="Verdana" w:eastAsia="Verdana" w:hAnsi="Verdana" w:cs="Verdana"/>
          <w:color w:val="000000" w:themeColor="text1"/>
        </w:rPr>
        <w:t xml:space="preserve"> were used to pay for data security and that </w:t>
      </w:r>
      <w:proofErr w:type="spellStart"/>
      <w:r w:rsidRPr="008A688A">
        <w:rPr>
          <w:rFonts w:ascii="Verdana" w:eastAsia="Verdana" w:hAnsi="Verdana" w:cs="Verdana"/>
          <w:color w:val="000000" w:themeColor="text1"/>
        </w:rPr>
        <w:t>AvMed</w:t>
      </w:r>
      <w:proofErr w:type="spellEnd"/>
      <w:r w:rsidRPr="008A688A">
        <w:rPr>
          <w:rFonts w:ascii="Verdana" w:eastAsia="Verdana" w:hAnsi="Verdana" w:cs="Verdana"/>
          <w:color w:val="000000" w:themeColor="text1"/>
        </w:rPr>
        <w:t xml:space="preserve"> was unjustly enriched because it did not maintain adequate data-security standards. </w:t>
      </w:r>
      <w:r w:rsidRPr="008A688A">
        <w:rPr>
          <w:rFonts w:ascii="Verdana" w:eastAsia="Verdana" w:hAnsi="Verdana" w:cs="Verdana"/>
          <w:i/>
          <w:color w:val="000000" w:themeColor="text1"/>
        </w:rPr>
        <w:t>Id.</w:t>
      </w:r>
      <w:r w:rsidRPr="008A688A">
        <w:rPr>
          <w:rFonts w:ascii="Verdana" w:eastAsia="Verdana" w:hAnsi="Verdana" w:cs="Verdana"/>
          <w:color w:val="000000" w:themeColor="text1"/>
        </w:rPr>
        <w:t xml:space="preserve"> The Eleventh Circuit reversed the district court's dismissal of the unjust-enrichment claim, finding that the allegations, taken as true, stated a claim for unjust enrichment. </w:t>
      </w:r>
      <w:r w:rsidRPr="008A688A">
        <w:rPr>
          <w:rFonts w:ascii="Verdana" w:eastAsia="Verdana" w:hAnsi="Verdana" w:cs="Verdana"/>
          <w:i/>
          <w:color w:val="000000" w:themeColor="text1"/>
        </w:rPr>
        <w:t>Id.</w:t>
      </w:r>
    </w:p>
    <w:p w14:paraId="574FD2ED"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2C5BA3E4"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In </w:t>
      </w:r>
      <w:proofErr w:type="spellStart"/>
      <w:r w:rsidRPr="008A688A">
        <w:rPr>
          <w:rFonts w:ascii="Verdana" w:eastAsia="Verdana" w:hAnsi="Verdana" w:cs="Verdana"/>
          <w:i/>
          <w:color w:val="000000" w:themeColor="text1"/>
        </w:rPr>
        <w:t>AvMed</w:t>
      </w:r>
      <w:proofErr w:type="spellEnd"/>
      <w:r w:rsidRPr="008A688A">
        <w:rPr>
          <w:rFonts w:ascii="Verdana" w:eastAsia="Verdana" w:hAnsi="Verdana" w:cs="Verdana"/>
          <w:i/>
          <w:color w:val="000000" w:themeColor="text1"/>
        </w:rPr>
        <w:t>,</w:t>
      </w:r>
      <w:r w:rsidRPr="008A688A">
        <w:rPr>
          <w:rFonts w:ascii="Verdana" w:eastAsia="Verdana" w:hAnsi="Verdana" w:cs="Verdana"/>
          <w:color w:val="000000" w:themeColor="text1"/>
        </w:rPr>
        <w:t xml:space="preserve"> every member of the health care plan paid the allegedly increased charge for data security because every member's personal information was at risk from insufficient security. But the same is not true at Target. Target charges all shoppers the same price for the goods they buy whether the customer pays with a credit card, debit card, or cash. But cash customers face no risk that a computer hacker will steal their personal financial information. If Target charged credit- and debit-card customers more for their purchases to offset the costs of data security, Plaintiffs might have a plausible allegation in this regard. But the fact that all customers regardless of payment method pay the same price renders Plaintiffs' overcharge theory implausible. </w:t>
      </w:r>
      <w:r w:rsidRPr="008A688A">
        <w:rPr>
          <w:rFonts w:ascii="Verdana" w:eastAsia="Verdana" w:hAnsi="Verdana" w:cs="Verdana"/>
          <w:i/>
          <w:color w:val="000000" w:themeColor="text1"/>
        </w:rPr>
        <w:t>See In re Barnes &amp; Noble Pin Pad Litig.,</w:t>
      </w:r>
      <w:r w:rsidRPr="008A688A">
        <w:rPr>
          <w:rFonts w:ascii="Verdana" w:eastAsia="Verdana" w:hAnsi="Verdana" w:cs="Verdana"/>
          <w:color w:val="000000" w:themeColor="text1"/>
        </w:rPr>
        <w:t xml:space="preserve"> No. 12–CV–8617, 2013 WL 4759588, at *5 (</w:t>
      </w:r>
      <w:proofErr w:type="spellStart"/>
      <w:r w:rsidRPr="008A688A">
        <w:rPr>
          <w:rFonts w:ascii="Verdana" w:eastAsia="Verdana" w:hAnsi="Verdana" w:cs="Verdana"/>
          <w:color w:val="000000" w:themeColor="text1"/>
        </w:rPr>
        <w:t>N.D.Ill</w:t>
      </w:r>
      <w:proofErr w:type="spellEnd"/>
      <w:r w:rsidRPr="008A688A">
        <w:rPr>
          <w:rFonts w:ascii="Verdana" w:eastAsia="Verdana" w:hAnsi="Verdana" w:cs="Verdana"/>
          <w:color w:val="000000" w:themeColor="text1"/>
        </w:rPr>
        <w:t>. Sept. 3, 2013) (finding no merit to overcharge theory when plaintiffs did not plead that retailer “charged a higher price for goods whether a customer pays with credit, and therefore, that additional value is expected in the use of a credit card”).</w:t>
      </w:r>
    </w:p>
    <w:p w14:paraId="52AB3AD8"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0DFD4238" w14:textId="77777777" w:rsidR="004C383F" w:rsidRPr="008A688A" w:rsidRDefault="004C383F" w:rsidP="004C383F">
      <w:pPr>
        <w:spacing w:after="0" w:line="240" w:lineRule="auto"/>
        <w:jc w:val="both"/>
        <w:rPr>
          <w:rFonts w:ascii="Verdana" w:eastAsia="Verdana" w:hAnsi="Verdana" w:cs="Verdana"/>
          <w:color w:val="000000" w:themeColor="text1"/>
        </w:rPr>
      </w:pPr>
      <w:bookmarkStart w:id="12" w:name="bookmark=id.3jtnz0s" w:colFirst="0" w:colLast="0"/>
      <w:bookmarkEnd w:id="12"/>
      <w:r w:rsidRPr="008A688A">
        <w:rPr>
          <w:rFonts w:ascii="Verdana" w:eastAsia="Verdana" w:hAnsi="Verdana" w:cs="Verdana"/>
          <w:color w:val="000000" w:themeColor="text1"/>
        </w:rPr>
        <w:t xml:space="preserve">Plaintiffs' “would not have shopped” theory, however, is plausible and supports their claim for unjust enrichment. If Plaintiffs can establish that they shopped at Target after Target knew or should have known of the breach, and that Plaintiffs would not </w:t>
      </w:r>
      <w:r w:rsidRPr="008A688A">
        <w:rPr>
          <w:rFonts w:ascii="Verdana" w:eastAsia="Verdana" w:hAnsi="Verdana" w:cs="Verdana"/>
          <w:color w:val="000000" w:themeColor="text1"/>
        </w:rPr>
        <w:lastRenderedPageBreak/>
        <w:t>have shopped at Target had they known about the breach, a reasonable jury could conclude that the money Plaintiffs spent at Target is money to which Target “in equity and good conscience” should not have received. This portion of Plaintiffs' unjust enrichment claim is not dismissed.</w:t>
      </w:r>
    </w:p>
    <w:p w14:paraId="47E21857" w14:textId="77777777" w:rsidR="004C383F" w:rsidRPr="008A688A" w:rsidRDefault="004C383F" w:rsidP="004C383F">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53540B70" w14:textId="77777777" w:rsidR="00865EB2" w:rsidRDefault="00865EB2"/>
    <w:sectPr w:rsidR="0086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3F"/>
    <w:rsid w:val="000479DD"/>
    <w:rsid w:val="004C383F"/>
    <w:rsid w:val="00865EB2"/>
    <w:rsid w:val="008B5EC0"/>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0E55"/>
  <w15:chartTrackingRefBased/>
  <w15:docId w15:val="{087E8082-D72E-451D-88B6-CFEDFFA3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3F"/>
    <w:pPr>
      <w:spacing w:after="160" w:line="259" w:lineRule="auto"/>
    </w:pPr>
    <w:rPr>
      <w:rFonts w:asciiTheme="minorHAnsi" w:eastAsiaTheme="minorEastAsia" w:hAnsiTheme="minorHAnsi"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2024-03-29T18:46:00Z</dcterms:created>
  <dcterms:modified xsi:type="dcterms:W3CDTF">2024-03-29T18:50:00Z</dcterms:modified>
</cp:coreProperties>
</file>